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18" w:rsidRDefault="00582418" w:rsidP="00582418">
      <w:pPr>
        <w:spacing w:before="240" w:line="360" w:lineRule="auto"/>
        <w:jc w:val="center"/>
        <w:rPr>
          <w:rFonts w:ascii="Arial" w:hAnsi="Arial"/>
          <w:sz w:val="24"/>
        </w:rPr>
      </w:pPr>
      <w:bookmarkStart w:id="0" w:name="_GoBack"/>
      <w:bookmarkEnd w:id="0"/>
    </w:p>
    <w:p w:rsidR="00582418" w:rsidRDefault="00582418" w:rsidP="00582418">
      <w:pPr>
        <w:spacing w:before="240" w:line="360" w:lineRule="auto"/>
        <w:jc w:val="center"/>
        <w:rPr>
          <w:rFonts w:ascii="Arial" w:hAnsi="Arial"/>
          <w:sz w:val="24"/>
        </w:rPr>
      </w:pPr>
    </w:p>
    <w:p w:rsidR="00582418" w:rsidRDefault="00582418" w:rsidP="00582418">
      <w:pPr>
        <w:spacing w:before="240" w:line="360" w:lineRule="auto"/>
        <w:jc w:val="center"/>
        <w:rPr>
          <w:rFonts w:ascii="Arial" w:hAnsi="Arial"/>
          <w:sz w:val="24"/>
        </w:rPr>
      </w:pPr>
    </w:p>
    <w:p w:rsidR="00582418" w:rsidRDefault="00582418" w:rsidP="00582418">
      <w:pPr>
        <w:spacing w:before="240" w:line="360" w:lineRule="auto"/>
        <w:jc w:val="center"/>
        <w:rPr>
          <w:rFonts w:ascii="Arial" w:hAnsi="Arial"/>
          <w:sz w:val="24"/>
        </w:rPr>
      </w:pPr>
    </w:p>
    <w:p w:rsidR="00582418" w:rsidRDefault="00582418" w:rsidP="00582418">
      <w:pPr>
        <w:spacing w:before="240" w:line="360" w:lineRule="auto"/>
        <w:jc w:val="center"/>
        <w:rPr>
          <w:rFonts w:ascii="Arial" w:hAnsi="Arial"/>
          <w:b/>
          <w:i/>
          <w:color w:val="008143"/>
          <w:sz w:val="28"/>
          <w:szCs w:val="28"/>
        </w:rPr>
      </w:pPr>
      <w:r>
        <w:rPr>
          <w:rFonts w:ascii="Arial" w:hAnsi="Arial"/>
          <w:b/>
          <w:i/>
          <w:color w:val="008143"/>
          <w:sz w:val="28"/>
          <w:szCs w:val="28"/>
        </w:rPr>
        <w:t xml:space="preserve">Evaluation of the National Institute on Aging’s AgePage Series </w:t>
      </w:r>
    </w:p>
    <w:p w:rsidR="00582418" w:rsidRDefault="00582418" w:rsidP="00582418">
      <w:pPr>
        <w:jc w:val="center"/>
        <w:rPr>
          <w:rFonts w:ascii="Arial" w:hAnsi="Arial"/>
          <w:sz w:val="32"/>
        </w:rPr>
      </w:pPr>
    </w:p>
    <w:p w:rsidR="00582418" w:rsidRDefault="00582418" w:rsidP="00582418">
      <w:pPr>
        <w:jc w:val="center"/>
        <w:rPr>
          <w:rFonts w:ascii="Arial" w:hAnsi="Arial"/>
          <w:sz w:val="32"/>
        </w:rPr>
      </w:pPr>
      <w:r>
        <w:rPr>
          <w:rFonts w:ascii="Arial" w:hAnsi="Arial"/>
          <w:sz w:val="32"/>
        </w:rPr>
        <w:t xml:space="preserve">Final Report </w:t>
      </w:r>
    </w:p>
    <w:p w:rsidR="00582418" w:rsidRDefault="00582418" w:rsidP="00582418">
      <w:pPr>
        <w:jc w:val="center"/>
        <w:rPr>
          <w:rFonts w:ascii="Arial" w:hAnsi="Arial"/>
          <w:sz w:val="32"/>
        </w:rPr>
      </w:pPr>
      <w:r>
        <w:rPr>
          <w:rFonts w:ascii="Arial" w:hAnsi="Arial"/>
          <w:sz w:val="32"/>
        </w:rPr>
        <w:t>Submitted May 18, 2009</w:t>
      </w: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p w:rsidR="00582418" w:rsidRDefault="00582418" w:rsidP="00582418">
      <w:pPr>
        <w:jc w:val="center"/>
        <w:rPr>
          <w:rFonts w:ascii="Arial" w:hAnsi="Arial"/>
          <w:sz w:val="24"/>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406"/>
        <w:gridCol w:w="4464"/>
      </w:tblGrid>
      <w:tr w:rsidR="00582418" w:rsidTr="00DA16FA">
        <w:tc>
          <w:tcPr>
            <w:tcW w:w="2376" w:type="dxa"/>
          </w:tcPr>
          <w:p w:rsidR="00582418" w:rsidRDefault="00582418" w:rsidP="00DA16FA">
            <w:pPr>
              <w:jc w:val="center"/>
              <w:rPr>
                <w:rFonts w:ascii="Arial" w:hAnsi="Arial"/>
                <w:sz w:val="24"/>
              </w:rPr>
            </w:pPr>
            <w:r>
              <w:rPr>
                <w:rFonts w:ascii="Arial" w:hAnsi="Arial"/>
                <w:noProof/>
                <w:sz w:val="24"/>
              </w:rPr>
              <w:drawing>
                <wp:inline distT="0" distB="0" distL="0" distR="0">
                  <wp:extent cx="1371600" cy="1371600"/>
                  <wp:effectExtent l="19050" t="0" r="0" b="0"/>
                  <wp:docPr id="1" name="Picture 1" descr="NO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logo"/>
                          <pic:cNvPicPr>
                            <a:picLocks noChangeAspect="1" noChangeArrowheads="1"/>
                          </pic:cNvPicPr>
                        </pic:nvPicPr>
                        <pic:blipFill>
                          <a:blip r:embed="rId8" cstate="print"/>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tc>
        <w:tc>
          <w:tcPr>
            <w:tcW w:w="4464" w:type="dxa"/>
          </w:tcPr>
          <w:p w:rsidR="00582418" w:rsidRDefault="00582418" w:rsidP="00DA16FA">
            <w:pPr>
              <w:ind w:left="36"/>
              <w:rPr>
                <w:rFonts w:ascii="Arial" w:hAnsi="Arial" w:cs="Arial"/>
                <w:sz w:val="24"/>
              </w:rPr>
            </w:pPr>
            <w:r>
              <w:rPr>
                <w:rFonts w:ascii="Arial" w:hAnsi="Arial" w:cs="Arial"/>
                <w:sz w:val="24"/>
              </w:rPr>
              <w:t>NOVA Research Company</w:t>
            </w:r>
            <w:r>
              <w:rPr>
                <w:rFonts w:ascii="Arial" w:hAnsi="Arial" w:cs="Arial"/>
                <w:sz w:val="24"/>
              </w:rPr>
              <w:br/>
              <w:t>4600 East-West Highway</w:t>
            </w:r>
            <w:r>
              <w:rPr>
                <w:rFonts w:ascii="Arial" w:hAnsi="Arial" w:cs="Arial"/>
                <w:sz w:val="24"/>
              </w:rPr>
              <w:br/>
              <w:t>Suite 700</w:t>
            </w:r>
            <w:r>
              <w:rPr>
                <w:rFonts w:ascii="Arial" w:hAnsi="Arial" w:cs="Arial"/>
                <w:sz w:val="24"/>
              </w:rPr>
              <w:br/>
              <w:t>Bethesda, MD 20814</w:t>
            </w:r>
            <w:r>
              <w:rPr>
                <w:rFonts w:ascii="Arial" w:hAnsi="Arial" w:cs="Arial"/>
                <w:sz w:val="24"/>
              </w:rPr>
              <w:br/>
              <w:t>301-986-1891</w:t>
            </w:r>
            <w:r>
              <w:rPr>
                <w:rFonts w:ascii="Arial" w:hAnsi="Arial" w:cs="Arial"/>
                <w:sz w:val="24"/>
              </w:rPr>
              <w:br/>
              <w:t>Fax 301-718-6199</w:t>
            </w:r>
            <w:r>
              <w:rPr>
                <w:rFonts w:ascii="Arial" w:hAnsi="Arial" w:cs="Arial"/>
                <w:sz w:val="24"/>
              </w:rPr>
              <w:br/>
              <w:t>www.novaresearch.com</w:t>
            </w:r>
          </w:p>
          <w:p w:rsidR="00582418" w:rsidRDefault="00582418" w:rsidP="00DA16FA">
            <w:pPr>
              <w:jc w:val="center"/>
              <w:rPr>
                <w:rFonts w:ascii="Arial" w:hAnsi="Arial"/>
                <w:sz w:val="24"/>
              </w:rPr>
            </w:pPr>
          </w:p>
        </w:tc>
      </w:tr>
    </w:tbl>
    <w:p w:rsidR="00582418" w:rsidRDefault="00582418" w:rsidP="00582418">
      <w:pPr>
        <w:jc w:val="center"/>
        <w:rPr>
          <w:rFonts w:ascii="Arial" w:hAnsi="Arial"/>
          <w:sz w:val="24"/>
        </w:rPr>
      </w:pPr>
    </w:p>
    <w:p w:rsidR="00582418" w:rsidRDefault="00582418" w:rsidP="00582418">
      <w:pPr>
        <w:rPr>
          <w:sz w:val="24"/>
        </w:rPr>
        <w:sectPr w:rsidR="00582418">
          <w:footerReference w:type="default" r:id="rId9"/>
          <w:headerReference w:type="first" r:id="rId10"/>
          <w:footerReference w:type="first" r:id="rId11"/>
          <w:pgSz w:w="12240" w:h="15840" w:code="1"/>
          <w:pgMar w:top="1440" w:right="1440" w:bottom="1440" w:left="1440" w:header="720" w:footer="504" w:gutter="0"/>
          <w:cols w:space="720"/>
          <w:titlePg/>
          <w:docGrid w:linePitch="360"/>
        </w:sectPr>
      </w:pPr>
    </w:p>
    <w:p w:rsidR="00582418" w:rsidRDefault="00582418" w:rsidP="00582418">
      <w:pPr>
        <w:jc w:val="center"/>
        <w:rPr>
          <w:rFonts w:ascii="Arial" w:hAnsi="Arial"/>
          <w:b/>
          <w:color w:val="339966"/>
          <w:sz w:val="24"/>
        </w:rPr>
      </w:pPr>
      <w:r>
        <w:rPr>
          <w:rFonts w:ascii="Arial" w:hAnsi="Arial"/>
          <w:b/>
          <w:color w:val="339966"/>
          <w:sz w:val="24"/>
        </w:rPr>
        <w:lastRenderedPageBreak/>
        <w:t>National Institute on Aging</w:t>
      </w:r>
    </w:p>
    <w:p w:rsidR="00582418" w:rsidRDefault="00582418" w:rsidP="00582418">
      <w:pPr>
        <w:jc w:val="center"/>
        <w:rPr>
          <w:rFonts w:ascii="Arial" w:hAnsi="Arial"/>
          <w:b/>
          <w:color w:val="008143"/>
          <w:sz w:val="24"/>
        </w:rPr>
      </w:pPr>
      <w:r>
        <w:rPr>
          <w:rFonts w:ascii="Arial" w:hAnsi="Arial"/>
          <w:b/>
          <w:color w:val="008143"/>
          <w:sz w:val="24"/>
        </w:rPr>
        <w:t xml:space="preserve">Evaluation of the </w:t>
      </w:r>
      <w:r>
        <w:rPr>
          <w:rFonts w:ascii="Arial" w:hAnsi="Arial"/>
          <w:b/>
          <w:i/>
          <w:color w:val="008143"/>
          <w:sz w:val="24"/>
        </w:rPr>
        <w:t xml:space="preserve">AgePage </w:t>
      </w:r>
      <w:r>
        <w:rPr>
          <w:rFonts w:ascii="Arial" w:hAnsi="Arial"/>
          <w:b/>
          <w:color w:val="008143"/>
          <w:sz w:val="24"/>
        </w:rPr>
        <w:t>Series</w:t>
      </w:r>
    </w:p>
    <w:p w:rsidR="00582418" w:rsidRDefault="00582418" w:rsidP="00582418">
      <w:pPr>
        <w:jc w:val="center"/>
        <w:rPr>
          <w:rFonts w:ascii="Arial" w:hAnsi="Arial"/>
          <w:b/>
          <w:color w:val="339966"/>
          <w:sz w:val="24"/>
        </w:rPr>
      </w:pPr>
    </w:p>
    <w:p w:rsidR="00582418" w:rsidRDefault="00582418" w:rsidP="00582418">
      <w:pPr>
        <w:pStyle w:val="Heading2"/>
        <w:ind w:left="547" w:hanging="547"/>
        <w:rPr>
          <w:sz w:val="24"/>
        </w:rPr>
      </w:pPr>
      <w:r>
        <w:rPr>
          <w:sz w:val="24"/>
        </w:rPr>
        <w:t>Executive Summary</w:t>
      </w:r>
    </w:p>
    <w:p w:rsidR="00582418" w:rsidRDefault="00582418" w:rsidP="00582418">
      <w:pPr>
        <w:tabs>
          <w:tab w:val="left" w:pos="360"/>
        </w:tabs>
        <w:spacing w:after="120"/>
        <w:rPr>
          <w:sz w:val="24"/>
        </w:rPr>
      </w:pPr>
      <w:r>
        <w:rPr>
          <w:sz w:val="24"/>
        </w:rPr>
        <w:t xml:space="preserve">In its mission to disseminate health information to the public, the National Institute on Aging (NIA) produces a variety of resources on a wide range of topics, including the </w:t>
      </w:r>
      <w:r>
        <w:rPr>
          <w:i/>
          <w:sz w:val="24"/>
        </w:rPr>
        <w:t xml:space="preserve">AgePage </w:t>
      </w:r>
      <w:r>
        <w:rPr>
          <w:sz w:val="24"/>
        </w:rPr>
        <w:t>series</w:t>
      </w:r>
      <w:r>
        <w:rPr>
          <w:i/>
          <w:sz w:val="24"/>
        </w:rPr>
        <w:t xml:space="preserve">. AgePages </w:t>
      </w:r>
      <w:r>
        <w:rPr>
          <w:sz w:val="24"/>
        </w:rPr>
        <w:t xml:space="preserve">offer readers basic information about a health or age-related topic and a list of resources for where to learn more. In 2008, NIA planned an evaluation of the </w:t>
      </w:r>
      <w:r>
        <w:rPr>
          <w:i/>
          <w:sz w:val="24"/>
        </w:rPr>
        <w:t>AgePage</w:t>
      </w:r>
      <w:r>
        <w:rPr>
          <w:sz w:val="24"/>
        </w:rPr>
        <w:t xml:space="preserve"> series to determine whether the </w:t>
      </w:r>
      <w:r>
        <w:rPr>
          <w:i/>
          <w:sz w:val="24"/>
        </w:rPr>
        <w:t>AgePages</w:t>
      </w:r>
      <w:r>
        <w:rPr>
          <w:sz w:val="24"/>
        </w:rPr>
        <w:t xml:space="preserve"> meet the health information needs of the target audience; if changes might enhance the </w:t>
      </w:r>
      <w:r>
        <w:rPr>
          <w:i/>
          <w:sz w:val="24"/>
        </w:rPr>
        <w:t>AgePages</w:t>
      </w:r>
      <w:r>
        <w:rPr>
          <w:sz w:val="24"/>
        </w:rPr>
        <w:t xml:space="preserve">; if new </w:t>
      </w:r>
      <w:r>
        <w:rPr>
          <w:i/>
          <w:sz w:val="24"/>
        </w:rPr>
        <w:t>AgePage</w:t>
      </w:r>
      <w:r>
        <w:rPr>
          <w:sz w:val="24"/>
        </w:rPr>
        <w:t xml:space="preserve"> topics are needed; and if there are new ways to raise awareness of the </w:t>
      </w:r>
      <w:r>
        <w:rPr>
          <w:i/>
          <w:sz w:val="24"/>
        </w:rPr>
        <w:t>AgePages</w:t>
      </w:r>
      <w:r>
        <w:rPr>
          <w:sz w:val="24"/>
        </w:rPr>
        <w:t>.</w:t>
      </w:r>
    </w:p>
    <w:p w:rsidR="00582418" w:rsidRDefault="00582418" w:rsidP="00582418">
      <w:pPr>
        <w:ind w:left="360"/>
        <w:rPr>
          <w:b/>
          <w:color w:val="800000"/>
          <w:sz w:val="24"/>
        </w:rPr>
      </w:pPr>
      <w:r>
        <w:rPr>
          <w:b/>
          <w:color w:val="800000"/>
          <w:sz w:val="24"/>
        </w:rPr>
        <w:t>Evaluation</w:t>
      </w:r>
    </w:p>
    <w:p w:rsidR="00582418" w:rsidRDefault="00582418" w:rsidP="00582418">
      <w:pPr>
        <w:tabs>
          <w:tab w:val="left" w:pos="360"/>
        </w:tabs>
        <w:spacing w:after="120"/>
        <w:rPr>
          <w:sz w:val="24"/>
        </w:rPr>
      </w:pPr>
      <w:r>
        <w:rPr>
          <w:sz w:val="24"/>
        </w:rPr>
        <w:t xml:space="preserve">NOVA Research Company was contracted by NIA to plan and conduct focus groups in order to evaluate the </w:t>
      </w:r>
      <w:r>
        <w:rPr>
          <w:i/>
          <w:sz w:val="24"/>
        </w:rPr>
        <w:t xml:space="preserve">AgePage </w:t>
      </w:r>
      <w:r>
        <w:rPr>
          <w:sz w:val="24"/>
        </w:rPr>
        <w:t>series. The focus groups were designed to answer the following evaluation questions:</w:t>
      </w:r>
    </w:p>
    <w:p w:rsidR="00582418" w:rsidRDefault="00582418" w:rsidP="00582418">
      <w:pPr>
        <w:numPr>
          <w:ilvl w:val="0"/>
          <w:numId w:val="2"/>
        </w:numPr>
        <w:tabs>
          <w:tab w:val="left" w:pos="360"/>
        </w:tabs>
        <w:spacing w:after="120"/>
        <w:rPr>
          <w:sz w:val="24"/>
        </w:rPr>
      </w:pPr>
      <w:r>
        <w:rPr>
          <w:sz w:val="24"/>
        </w:rPr>
        <w:t xml:space="preserve">Are </w:t>
      </w:r>
      <w:r>
        <w:rPr>
          <w:i/>
          <w:sz w:val="24"/>
        </w:rPr>
        <w:t xml:space="preserve">AgePages </w:t>
      </w:r>
      <w:r>
        <w:rPr>
          <w:sz w:val="24"/>
        </w:rPr>
        <w:t>an accessible, preliminary source of health information for older adults?</w:t>
      </w:r>
    </w:p>
    <w:p w:rsidR="00582418" w:rsidRDefault="00582418" w:rsidP="00582418">
      <w:pPr>
        <w:numPr>
          <w:ilvl w:val="0"/>
          <w:numId w:val="2"/>
        </w:numPr>
        <w:tabs>
          <w:tab w:val="left" w:pos="360"/>
        </w:tabs>
        <w:spacing w:after="120"/>
        <w:rPr>
          <w:sz w:val="24"/>
        </w:rPr>
      </w:pPr>
      <w:r>
        <w:rPr>
          <w:sz w:val="24"/>
        </w:rPr>
        <w:t xml:space="preserve">Do </w:t>
      </w:r>
      <w:r>
        <w:rPr>
          <w:i/>
          <w:sz w:val="24"/>
        </w:rPr>
        <w:t xml:space="preserve">AgePages </w:t>
      </w:r>
      <w:r>
        <w:rPr>
          <w:sz w:val="24"/>
        </w:rPr>
        <w:t>provide easy-to-read, easy-to-understand overviews of health-related topics?</w:t>
      </w:r>
    </w:p>
    <w:p w:rsidR="00582418" w:rsidRDefault="00582418" w:rsidP="00582418">
      <w:pPr>
        <w:numPr>
          <w:ilvl w:val="0"/>
          <w:numId w:val="2"/>
        </w:numPr>
        <w:tabs>
          <w:tab w:val="left" w:pos="360"/>
        </w:tabs>
        <w:spacing w:after="120"/>
        <w:rPr>
          <w:sz w:val="24"/>
        </w:rPr>
      </w:pPr>
      <w:r>
        <w:rPr>
          <w:sz w:val="24"/>
        </w:rPr>
        <w:t>Is the current format/design of the pamphlets effective for older readers?</w:t>
      </w:r>
    </w:p>
    <w:p w:rsidR="00582418" w:rsidRDefault="00582418" w:rsidP="00582418">
      <w:pPr>
        <w:numPr>
          <w:ilvl w:val="0"/>
          <w:numId w:val="2"/>
        </w:numPr>
        <w:tabs>
          <w:tab w:val="left" w:pos="360"/>
        </w:tabs>
        <w:spacing w:after="120"/>
        <w:rPr>
          <w:sz w:val="24"/>
        </w:rPr>
      </w:pPr>
      <w:r>
        <w:rPr>
          <w:sz w:val="24"/>
        </w:rPr>
        <w:t xml:space="preserve">Do the current </w:t>
      </w:r>
      <w:r>
        <w:rPr>
          <w:i/>
          <w:sz w:val="24"/>
        </w:rPr>
        <w:t xml:space="preserve">AgePage </w:t>
      </w:r>
      <w:r>
        <w:rPr>
          <w:sz w:val="24"/>
        </w:rPr>
        <w:t>topics include key relevant subjects of interest to older adults?</w:t>
      </w:r>
    </w:p>
    <w:p w:rsidR="00582418" w:rsidRDefault="00582418" w:rsidP="00582418">
      <w:pPr>
        <w:numPr>
          <w:ilvl w:val="0"/>
          <w:numId w:val="2"/>
        </w:numPr>
        <w:tabs>
          <w:tab w:val="left" w:pos="360"/>
        </w:tabs>
        <w:spacing w:after="120"/>
        <w:rPr>
          <w:sz w:val="24"/>
        </w:rPr>
      </w:pPr>
      <w:r>
        <w:rPr>
          <w:sz w:val="24"/>
        </w:rPr>
        <w:t xml:space="preserve">Does the </w:t>
      </w:r>
      <w:r>
        <w:rPr>
          <w:i/>
          <w:sz w:val="24"/>
        </w:rPr>
        <w:t xml:space="preserve">AgePage </w:t>
      </w:r>
      <w:r>
        <w:rPr>
          <w:sz w:val="24"/>
        </w:rPr>
        <w:t>audience have any new ideas for ways to disseminate and promote the resource?</w:t>
      </w:r>
    </w:p>
    <w:p w:rsidR="00582418" w:rsidRDefault="00582418" w:rsidP="00582418">
      <w:pPr>
        <w:tabs>
          <w:tab w:val="left" w:pos="360"/>
        </w:tabs>
        <w:spacing w:after="120"/>
        <w:rPr>
          <w:color w:val="000000"/>
          <w:sz w:val="24"/>
        </w:rPr>
      </w:pPr>
      <w:r>
        <w:rPr>
          <w:sz w:val="24"/>
        </w:rPr>
        <w:t xml:space="preserve">Six focus groups were held with a total of 46 individuals. Participants </w:t>
      </w:r>
      <w:r>
        <w:rPr>
          <w:color w:val="000000"/>
          <w:sz w:val="24"/>
        </w:rPr>
        <w:t xml:space="preserve">ranged from 60 to 85 years old and represented a variety of ethnic/racial and educational backgrounds. </w:t>
      </w:r>
      <w:r>
        <w:rPr>
          <w:sz w:val="24"/>
        </w:rPr>
        <w:t xml:space="preserve">Three focus groups were held in Silver Spring, Maryland, and three in Miami, </w:t>
      </w:r>
      <w:r>
        <w:rPr>
          <w:color w:val="000000"/>
          <w:sz w:val="24"/>
        </w:rPr>
        <w:t>Florida.</w:t>
      </w:r>
    </w:p>
    <w:p w:rsidR="00582418" w:rsidRDefault="00582418" w:rsidP="00582418">
      <w:pPr>
        <w:tabs>
          <w:tab w:val="left" w:pos="360"/>
        </w:tabs>
        <w:ind w:left="360"/>
        <w:rPr>
          <w:b/>
          <w:color w:val="800000"/>
          <w:sz w:val="24"/>
        </w:rPr>
      </w:pPr>
      <w:r>
        <w:rPr>
          <w:b/>
          <w:color w:val="800000"/>
          <w:sz w:val="24"/>
        </w:rPr>
        <w:t xml:space="preserve">Conclusions </w:t>
      </w:r>
    </w:p>
    <w:p w:rsidR="00582418" w:rsidRDefault="00582418" w:rsidP="00582418">
      <w:pPr>
        <w:numPr>
          <w:ilvl w:val="0"/>
          <w:numId w:val="1"/>
        </w:numPr>
        <w:tabs>
          <w:tab w:val="num" w:pos="630"/>
        </w:tabs>
        <w:ind w:left="630" w:hanging="270"/>
        <w:rPr>
          <w:b/>
          <w:sz w:val="24"/>
        </w:rPr>
      </w:pPr>
      <w:r>
        <w:rPr>
          <w:b/>
          <w:i/>
          <w:sz w:val="24"/>
        </w:rPr>
        <w:t xml:space="preserve">AgePages </w:t>
      </w:r>
      <w:r>
        <w:rPr>
          <w:b/>
          <w:sz w:val="24"/>
        </w:rPr>
        <w:t xml:space="preserve">are viewed as a preliminary source of health information for older adults. </w:t>
      </w:r>
    </w:p>
    <w:p w:rsidR="00582418" w:rsidRDefault="00582418" w:rsidP="00582418">
      <w:pPr>
        <w:tabs>
          <w:tab w:val="left" w:pos="360"/>
        </w:tabs>
        <w:spacing w:after="120"/>
        <w:rPr>
          <w:sz w:val="24"/>
        </w:rPr>
      </w:pPr>
      <w:r>
        <w:rPr>
          <w:sz w:val="24"/>
        </w:rPr>
        <w:t xml:space="preserve">Focus group participants viewed the </w:t>
      </w:r>
      <w:r>
        <w:rPr>
          <w:i/>
          <w:sz w:val="24"/>
        </w:rPr>
        <w:t>AgePages</w:t>
      </w:r>
      <w:r>
        <w:rPr>
          <w:sz w:val="24"/>
        </w:rPr>
        <w:t xml:space="preserve"> as a preliminary source of information and realized that the </w:t>
      </w:r>
      <w:r>
        <w:rPr>
          <w:i/>
          <w:sz w:val="24"/>
        </w:rPr>
        <w:t>AgePages</w:t>
      </w:r>
      <w:r>
        <w:rPr>
          <w:sz w:val="24"/>
        </w:rPr>
        <w:t xml:space="preserve"> were meant to give readers an overview of a topic. Group members also unanimously agreed that the material was appropriate for older adults. </w:t>
      </w:r>
    </w:p>
    <w:p w:rsidR="00582418" w:rsidRDefault="00582418" w:rsidP="00582418">
      <w:pPr>
        <w:numPr>
          <w:ilvl w:val="0"/>
          <w:numId w:val="1"/>
        </w:numPr>
        <w:tabs>
          <w:tab w:val="num" w:pos="630"/>
        </w:tabs>
        <w:ind w:left="630" w:hanging="270"/>
        <w:rPr>
          <w:b/>
          <w:sz w:val="24"/>
        </w:rPr>
      </w:pPr>
      <w:r>
        <w:rPr>
          <w:b/>
          <w:i/>
          <w:sz w:val="24"/>
        </w:rPr>
        <w:t xml:space="preserve">AgePages </w:t>
      </w:r>
      <w:r>
        <w:rPr>
          <w:b/>
          <w:sz w:val="24"/>
        </w:rPr>
        <w:t>provide easy-to-read, easy-to-understand overviews of health-related topics.</w:t>
      </w:r>
    </w:p>
    <w:p w:rsidR="00582418" w:rsidRDefault="00582418" w:rsidP="00582418">
      <w:pPr>
        <w:spacing w:after="120"/>
        <w:rPr>
          <w:sz w:val="24"/>
        </w:rPr>
      </w:pPr>
      <w:r>
        <w:rPr>
          <w:sz w:val="24"/>
        </w:rPr>
        <w:t xml:space="preserve">Participants from all the focus groups found the </w:t>
      </w:r>
      <w:r>
        <w:rPr>
          <w:i/>
          <w:sz w:val="24"/>
        </w:rPr>
        <w:t>AgePages</w:t>
      </w:r>
      <w:r>
        <w:rPr>
          <w:sz w:val="24"/>
        </w:rPr>
        <w:t xml:space="preserve"> to contain useful, interesting, and new information. They thought the materials were written in everyday language, were easy to read, and gave basic information that was easy to understand. </w:t>
      </w:r>
    </w:p>
    <w:p w:rsidR="00582418" w:rsidRDefault="00582418" w:rsidP="00582418">
      <w:pPr>
        <w:numPr>
          <w:ilvl w:val="0"/>
          <w:numId w:val="1"/>
        </w:numPr>
        <w:tabs>
          <w:tab w:val="num" w:pos="630"/>
        </w:tabs>
        <w:ind w:left="630" w:hanging="270"/>
        <w:rPr>
          <w:b/>
          <w:sz w:val="24"/>
        </w:rPr>
      </w:pPr>
      <w:r>
        <w:rPr>
          <w:b/>
          <w:sz w:val="24"/>
        </w:rPr>
        <w:t>The current format/design of the pamphlets is effective for older readers.</w:t>
      </w:r>
    </w:p>
    <w:p w:rsidR="00582418" w:rsidRDefault="00582418" w:rsidP="00582418">
      <w:pPr>
        <w:tabs>
          <w:tab w:val="left" w:pos="360"/>
        </w:tabs>
        <w:spacing w:after="120"/>
        <w:rPr>
          <w:sz w:val="24"/>
        </w:rPr>
      </w:pPr>
      <w:r>
        <w:rPr>
          <w:sz w:val="24"/>
        </w:rPr>
        <w:t xml:space="preserve">Most participants liked the current </w:t>
      </w:r>
      <w:r>
        <w:rPr>
          <w:i/>
          <w:sz w:val="24"/>
        </w:rPr>
        <w:t>AgePage</w:t>
      </w:r>
      <w:r>
        <w:rPr>
          <w:sz w:val="24"/>
        </w:rPr>
        <w:t xml:space="preserve"> format</w:t>
      </w:r>
      <w:r>
        <w:rPr>
          <w:i/>
          <w:sz w:val="24"/>
        </w:rPr>
        <w:t xml:space="preserve">, </w:t>
      </w:r>
      <w:r w:rsidRPr="00915D93">
        <w:rPr>
          <w:sz w:val="24"/>
        </w:rPr>
        <w:t>finding</w:t>
      </w:r>
      <w:r>
        <w:rPr>
          <w:sz w:val="24"/>
        </w:rPr>
        <w:t xml:space="preserve"> the accordion style to be very convenient in that it could be easily folded, stored, and read anywhere. Pamphlet size and font were appropriate for seniors.</w:t>
      </w:r>
    </w:p>
    <w:p w:rsidR="00582418" w:rsidRDefault="00582418" w:rsidP="00582418">
      <w:pPr>
        <w:tabs>
          <w:tab w:val="left" w:pos="360"/>
        </w:tabs>
        <w:spacing w:after="120"/>
        <w:rPr>
          <w:sz w:val="24"/>
        </w:rPr>
      </w:pPr>
      <w:r>
        <w:rPr>
          <w:sz w:val="24"/>
        </w:rPr>
        <w:t xml:space="preserve">Most participants thought they would be likely to pick up an </w:t>
      </w:r>
      <w:r>
        <w:rPr>
          <w:i/>
          <w:sz w:val="24"/>
        </w:rPr>
        <w:t>AgePage</w:t>
      </w:r>
      <w:r>
        <w:rPr>
          <w:sz w:val="24"/>
        </w:rPr>
        <w:t xml:space="preserve"> if they saw it displayed. They thought the title “</w:t>
      </w:r>
      <w:r>
        <w:rPr>
          <w:i/>
          <w:sz w:val="24"/>
        </w:rPr>
        <w:t>AgePage</w:t>
      </w:r>
      <w:r>
        <w:rPr>
          <w:sz w:val="24"/>
        </w:rPr>
        <w:t xml:space="preserve">” was one of the most attention grabbing aspects because of the word “age.” However, some participants thought NIA should consider using a colored font for </w:t>
      </w:r>
      <w:r>
        <w:rPr>
          <w:sz w:val="24"/>
        </w:rPr>
        <w:lastRenderedPageBreak/>
        <w:t xml:space="preserve">the title of the topic and adding pictures of older people or something more personalized and age-appropriate to attract attention. </w:t>
      </w:r>
    </w:p>
    <w:p w:rsidR="00582418" w:rsidRDefault="00582418" w:rsidP="00582418">
      <w:pPr>
        <w:numPr>
          <w:ilvl w:val="0"/>
          <w:numId w:val="1"/>
        </w:numPr>
        <w:tabs>
          <w:tab w:val="num" w:pos="630"/>
        </w:tabs>
        <w:ind w:left="630" w:hanging="270"/>
        <w:rPr>
          <w:b/>
          <w:sz w:val="24"/>
        </w:rPr>
      </w:pPr>
      <w:r>
        <w:rPr>
          <w:b/>
          <w:sz w:val="24"/>
        </w:rPr>
        <w:t xml:space="preserve">The current </w:t>
      </w:r>
      <w:r>
        <w:rPr>
          <w:b/>
          <w:i/>
          <w:sz w:val="24"/>
        </w:rPr>
        <w:t xml:space="preserve">AgePage </w:t>
      </w:r>
      <w:r>
        <w:rPr>
          <w:b/>
          <w:sz w:val="24"/>
        </w:rPr>
        <w:t>topics include key relevant subjects of interest to older adults.</w:t>
      </w:r>
    </w:p>
    <w:p w:rsidR="00582418" w:rsidRDefault="00582418" w:rsidP="00582418">
      <w:pPr>
        <w:tabs>
          <w:tab w:val="left" w:pos="360"/>
        </w:tabs>
        <w:spacing w:after="120"/>
        <w:rPr>
          <w:sz w:val="24"/>
        </w:rPr>
      </w:pPr>
      <w:r>
        <w:rPr>
          <w:sz w:val="24"/>
        </w:rPr>
        <w:t xml:space="preserve">The participants felt that the </w:t>
      </w:r>
      <w:r>
        <w:rPr>
          <w:i/>
          <w:sz w:val="24"/>
        </w:rPr>
        <w:t>AgePage</w:t>
      </w:r>
      <w:r>
        <w:rPr>
          <w:sz w:val="24"/>
        </w:rPr>
        <w:t xml:space="preserve"> topics met their health information needs and are also likely to meet the needs of their friends and family. They found the range of topics to be diverse, interesting, and useful. </w:t>
      </w:r>
    </w:p>
    <w:p w:rsidR="00582418" w:rsidRDefault="00582418" w:rsidP="00582418">
      <w:pPr>
        <w:numPr>
          <w:ilvl w:val="0"/>
          <w:numId w:val="1"/>
        </w:numPr>
        <w:tabs>
          <w:tab w:val="num" w:pos="630"/>
        </w:tabs>
        <w:ind w:left="630" w:hanging="270"/>
        <w:rPr>
          <w:b/>
          <w:sz w:val="24"/>
        </w:rPr>
      </w:pPr>
      <w:r>
        <w:rPr>
          <w:b/>
          <w:sz w:val="24"/>
        </w:rPr>
        <w:t xml:space="preserve">The </w:t>
      </w:r>
      <w:r>
        <w:rPr>
          <w:b/>
          <w:i/>
          <w:sz w:val="24"/>
        </w:rPr>
        <w:t xml:space="preserve">AgePage </w:t>
      </w:r>
      <w:r>
        <w:rPr>
          <w:b/>
          <w:sz w:val="24"/>
        </w:rPr>
        <w:t>audience had several new ideas for ways to promote and disseminate the resource.</w:t>
      </w:r>
    </w:p>
    <w:p w:rsidR="00582418" w:rsidRDefault="00582418" w:rsidP="00582418">
      <w:pPr>
        <w:tabs>
          <w:tab w:val="left" w:pos="360"/>
        </w:tabs>
        <w:spacing w:after="120"/>
        <w:rPr>
          <w:b/>
          <w:sz w:val="24"/>
        </w:rPr>
      </w:pPr>
      <w:r>
        <w:rPr>
          <w:sz w:val="24"/>
        </w:rPr>
        <w:t xml:space="preserve">Most focus group participants had not previously heard of </w:t>
      </w:r>
      <w:r>
        <w:rPr>
          <w:i/>
          <w:sz w:val="24"/>
        </w:rPr>
        <w:t>AgePages</w:t>
      </w:r>
      <w:r>
        <w:rPr>
          <w:sz w:val="24"/>
        </w:rPr>
        <w:t xml:space="preserve"> and emphasized that they thought people needed to know about this resource, suggesting a variety of outreach mechanisms and dissemination strategies.</w:t>
      </w:r>
    </w:p>
    <w:p w:rsidR="005F65E8" w:rsidRDefault="005F65E8" w:rsidP="00582418"/>
    <w:sectPr w:rsidR="005F65E8" w:rsidSect="005F65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E23CD">
      <w:r>
        <w:separator/>
      </w:r>
    </w:p>
  </w:endnote>
  <w:endnote w:type="continuationSeparator" w:id="0">
    <w:p w:rsidR="00000000" w:rsidRDefault="001E2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99" w:rsidRDefault="00582418">
    <w:pPr>
      <w:spacing w:before="100" w:after="40" w:line="240" w:lineRule="atLeast"/>
      <w:rPr>
        <w:rFonts w:ascii="Arial" w:hAnsi="Arial"/>
        <w:sz w:val="20"/>
      </w:rPr>
    </w:pPr>
    <w:r>
      <w:rPr>
        <w:rFonts w:ascii="Arial" w:hAnsi="Arial"/>
        <w:sz w:val="20"/>
      </w:rPr>
      <w:t>NOVA Research Company</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Page </w:t>
    </w:r>
    <w:r>
      <w:rPr>
        <w:rStyle w:val="PageNumber"/>
        <w:sz w:val="20"/>
      </w:rPr>
      <w:fldChar w:fldCharType="begin"/>
    </w:r>
    <w:r>
      <w:rPr>
        <w:rStyle w:val="PageNumber"/>
        <w:rFonts w:ascii="Arial" w:hAnsi="Arial"/>
        <w:sz w:val="20"/>
      </w:rPr>
      <w:instrText xml:space="preserve"> PAGE </w:instrText>
    </w:r>
    <w:r>
      <w:rPr>
        <w:rStyle w:val="PageNumber"/>
        <w:sz w:val="20"/>
      </w:rPr>
      <w:fldChar w:fldCharType="separate"/>
    </w:r>
    <w:r w:rsidR="001E23CD">
      <w:rPr>
        <w:rStyle w:val="PageNumber"/>
        <w:rFonts w:ascii="Arial" w:hAnsi="Arial"/>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99" w:rsidRDefault="00582418">
    <w:pPr>
      <w:pStyle w:val="Footer"/>
      <w:tabs>
        <w:tab w:val="clear" w:pos="8640"/>
        <w:tab w:val="left" w:pos="7605"/>
        <w:tab w:val="right" w:pos="9900"/>
      </w:tabs>
      <w:rPr>
        <w:sz w:val="16"/>
      </w:rPr>
    </w:pPr>
    <w:r>
      <w:rPr>
        <w:sz w:val="16"/>
      </w:rPr>
      <w:tab/>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E23CD">
      <w:r>
        <w:separator/>
      </w:r>
    </w:p>
  </w:footnote>
  <w:footnote w:type="continuationSeparator" w:id="0">
    <w:p w:rsidR="00000000" w:rsidRDefault="001E2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99" w:rsidRDefault="001E23CD">
    <w:pPr>
      <w:pStyle w:val="Header"/>
      <w:jc w:val="right"/>
      <w:rPr>
        <w:b/>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41E72"/>
    <w:multiLevelType w:val="hybridMultilevel"/>
    <w:tmpl w:val="4FE43E62"/>
    <w:lvl w:ilvl="0" w:tplc="000F0409">
      <w:start w:val="1"/>
      <w:numFmt w:val="decimal"/>
      <w:lvlText w:val="%1."/>
      <w:lvlJc w:val="left"/>
      <w:pPr>
        <w:tabs>
          <w:tab w:val="num" w:pos="1530"/>
        </w:tabs>
        <w:ind w:left="153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24A45C33"/>
    <w:multiLevelType w:val="hybridMultilevel"/>
    <w:tmpl w:val="9B801A04"/>
    <w:lvl w:ilvl="0" w:tplc="000F0409">
      <w:start w:val="1"/>
      <w:numFmt w:val="decimal"/>
      <w:lvlText w:val="%1."/>
      <w:lvlJc w:val="left"/>
      <w:pPr>
        <w:tabs>
          <w:tab w:val="num" w:pos="720"/>
        </w:tabs>
        <w:ind w:left="72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82418"/>
    <w:rsid w:val="001E23CD"/>
    <w:rsid w:val="00582418"/>
    <w:rsid w:val="005F65E8"/>
    <w:rsid w:val="009F478B"/>
    <w:rsid w:val="00DA3E99"/>
    <w:rsid w:val="00FE3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418"/>
    <w:pPr>
      <w:spacing w:after="0" w:line="240" w:lineRule="auto"/>
    </w:pPr>
    <w:rPr>
      <w:rFonts w:ascii="Times New Roman" w:eastAsia="Times New Roman" w:hAnsi="Times New Roman" w:cs="Times New Roman"/>
      <w:szCs w:val="24"/>
    </w:rPr>
  </w:style>
  <w:style w:type="paragraph" w:styleId="Heading2">
    <w:name w:val="heading 2"/>
    <w:basedOn w:val="Normal"/>
    <w:link w:val="Heading2Char"/>
    <w:qFormat/>
    <w:rsid w:val="00582418"/>
    <w:pPr>
      <w:keepNext/>
      <w:tabs>
        <w:tab w:val="left" w:pos="540"/>
      </w:tabs>
      <w:ind w:left="540" w:hanging="540"/>
      <w:outlineLvl w:val="1"/>
    </w:pPr>
    <w:rPr>
      <w:rFonts w:ascii="Arial" w:hAnsi="Arial"/>
      <w:b/>
      <w:bCs/>
      <w:color w:val="0081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2418"/>
    <w:rPr>
      <w:rFonts w:ascii="Arial" w:eastAsia="Times New Roman" w:hAnsi="Arial" w:cs="Times New Roman"/>
      <w:b/>
      <w:bCs/>
      <w:color w:val="008143"/>
      <w:szCs w:val="24"/>
    </w:rPr>
  </w:style>
  <w:style w:type="paragraph" w:styleId="Header">
    <w:name w:val="header"/>
    <w:aliases w:val="Sabre Header"/>
    <w:basedOn w:val="Normal"/>
    <w:link w:val="HeaderChar"/>
    <w:rsid w:val="00582418"/>
    <w:pPr>
      <w:tabs>
        <w:tab w:val="center" w:pos="4320"/>
        <w:tab w:val="right" w:pos="8640"/>
      </w:tabs>
    </w:pPr>
    <w:rPr>
      <w:rFonts w:eastAsia="SimSun"/>
      <w:lang w:eastAsia="zh-CN"/>
    </w:rPr>
  </w:style>
  <w:style w:type="character" w:customStyle="1" w:styleId="HeaderChar">
    <w:name w:val="Header Char"/>
    <w:aliases w:val="Sabre Header Char"/>
    <w:basedOn w:val="DefaultParagraphFont"/>
    <w:link w:val="Header"/>
    <w:rsid w:val="00582418"/>
    <w:rPr>
      <w:rFonts w:ascii="Times New Roman" w:eastAsia="SimSun" w:hAnsi="Times New Roman" w:cs="Times New Roman"/>
      <w:szCs w:val="24"/>
      <w:lang w:eastAsia="zh-CN"/>
    </w:rPr>
  </w:style>
  <w:style w:type="paragraph" w:styleId="Footer">
    <w:name w:val="footer"/>
    <w:basedOn w:val="Normal"/>
    <w:link w:val="FooterChar"/>
    <w:semiHidden/>
    <w:rsid w:val="00582418"/>
    <w:pPr>
      <w:tabs>
        <w:tab w:val="center" w:pos="4320"/>
        <w:tab w:val="right" w:pos="8640"/>
      </w:tabs>
    </w:pPr>
  </w:style>
  <w:style w:type="character" w:customStyle="1" w:styleId="FooterChar">
    <w:name w:val="Footer Char"/>
    <w:basedOn w:val="DefaultParagraphFont"/>
    <w:link w:val="Footer"/>
    <w:semiHidden/>
    <w:rsid w:val="00582418"/>
    <w:rPr>
      <w:rFonts w:ascii="Times New Roman" w:eastAsia="Times New Roman" w:hAnsi="Times New Roman" w:cs="Times New Roman"/>
      <w:szCs w:val="24"/>
    </w:rPr>
  </w:style>
  <w:style w:type="character" w:styleId="PageNumber">
    <w:name w:val="page number"/>
    <w:basedOn w:val="DefaultParagraphFont"/>
    <w:rsid w:val="00582418"/>
  </w:style>
  <w:style w:type="paragraph" w:styleId="BalloonText">
    <w:name w:val="Balloon Text"/>
    <w:basedOn w:val="Normal"/>
    <w:link w:val="BalloonTextChar"/>
    <w:uiPriority w:val="99"/>
    <w:semiHidden/>
    <w:unhideWhenUsed/>
    <w:rsid w:val="001E23CD"/>
    <w:rPr>
      <w:rFonts w:ascii="Tahoma" w:hAnsi="Tahoma" w:cs="Tahoma"/>
      <w:sz w:val="16"/>
      <w:szCs w:val="16"/>
    </w:rPr>
  </w:style>
  <w:style w:type="character" w:customStyle="1" w:styleId="BalloonTextChar">
    <w:name w:val="Balloon Text Char"/>
    <w:basedOn w:val="DefaultParagraphFont"/>
    <w:link w:val="BalloonText"/>
    <w:uiPriority w:val="99"/>
    <w:semiHidden/>
    <w:rsid w:val="001E23C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NIA</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jborger</dc:creator>
  <cp:lastModifiedBy>Ugo, Sherry (NIH/OD) [E]</cp:lastModifiedBy>
  <cp:revision>2</cp:revision>
  <dcterms:created xsi:type="dcterms:W3CDTF">2013-06-18T15:46:00Z</dcterms:created>
  <dcterms:modified xsi:type="dcterms:W3CDTF">2013-06-18T15:46:00Z</dcterms:modified>
</cp:coreProperties>
</file>